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keepNext/>
        <w:spacing w:before="0" w:after="0" w:line="240" w:lineRule="auto"/>
      </w:pPr>
      <w:r>
        <w:rPr>
          <w:rFonts w:ascii="Arial" w:hAnsi="Arial"/>
          <w:b w:val="0"/>
          <w:color w:val="795BB3"/>
          <w:sz w:val="48"/>
        </w:rPr>
        <w:t>MICHELLE MARTORELL</w:t>
      </w:r>
    </w:p>
    <w:p>
      <w:pPr>
        <w:keepNext/>
        <w:spacing w:before="0" w:after="60" w:line="240" w:lineRule="auto"/>
      </w:pPr>
      <w:r>
        <w:rPr>
          <w:rFonts w:ascii="Arial" w:hAnsi="Arial"/>
          <w:color w:val="5368BB"/>
          <w:sz w:val="22"/>
        </w:rPr>
        <w:t>PARTNERSHIPS | ENTERPRISE &amp; EDUCATION SALES | BRAND &amp; CREATIVE STRATEGY</w:t>
      </w:r>
    </w:p>
    <w:p>
      <w:pPr>
        <w:keepNext/>
        <w:spacing w:before="0" w:after="60" w:line="240" w:lineRule="auto"/>
      </w:pPr>
      <w:r>
        <w:rPr>
          <w:rFonts w:ascii="Arial" w:hAnsi="Arial"/>
          <w:b w:val="0"/>
          <w:color w:val="231F20"/>
          <w:sz w:val="18"/>
        </w:rPr>
        <w:t>Rochester, NY | 585-319-2839 | michelle@mmartorell.com | linkedin.com/in/michelle-martorell | mmartorell.com</w:t>
      </w:r>
    </w:p>
    <w:p>
      <w:pPr>
        <w:keepNext/>
        <w:spacing w:before="0" w:after="160" w:line="240" w:lineRule="auto"/>
      </w:pPr>
      <w:r>
        <w:rPr>
          <w:rFonts w:ascii="Arial" w:hAnsi="Arial"/>
          <w:b/>
          <w:color w:val="231F20"/>
          <w:sz w:val="18"/>
        </w:rPr>
        <w:t>Bilingual: Fully Fluent in English &amp; Spanish | US Citizen</w:t>
      </w:r>
    </w:p>
    <w:p>
      <w:pPr>
        <w:keepNext/>
        <w:spacing w:before="160" w:after="80" w:line="240" w:lineRule="auto"/>
      </w:pPr>
      <w:r>
        <w:rPr>
          <w:rFonts w:ascii="Arial" w:hAnsi="Arial"/>
          <w:b/>
          <w:color w:val="795BB3"/>
          <w:sz w:val="26"/>
        </w:rPr>
        <w:t>EXECUTIVE PROFILE</w:t>
      </w:r>
    </w:p>
    <w:p>
      <w:pPr>
        <w:spacing w:before="0" w:after="120" w:line="276" w:lineRule="auto"/>
      </w:pPr>
      <w:r>
        <w:rPr>
          <w:rFonts w:ascii="Arial" w:hAnsi="Arial"/>
          <w:b w:val="0"/>
          <w:color w:val="231F20"/>
          <w:sz w:val="20"/>
        </w:rPr>
        <w:t>Senior sales, partnerships, marketing, and creative strategy professional with a career spanning creative technology, higher education, media and entertainment, advertising, and agency services. Combines consultative enterprise sales, strategic relationship development, event planning, brand marketing, creative direction, and recurring program management with the ability to connect people, technology, and business opportunities.</w:t>
      </w:r>
    </w:p>
    <w:p>
      <w:pPr>
        <w:spacing w:before="0" w:after="120" w:line="276" w:lineRule="auto"/>
      </w:pPr>
      <w:r>
        <w:rPr>
          <w:rFonts w:ascii="Arial" w:hAnsi="Arial"/>
          <w:b w:val="0"/>
          <w:color w:val="231F20"/>
          <w:sz w:val="20"/>
        </w:rPr>
        <w:t>At Xencelabs, held simultaneous roles as Marketing Director, North America and Enterprise Sales Manager, generating more than $1.11M in direct sales while developing long-term relationships with universities, animation and VFX studios, technology partners, resellers, artists, and industry organizations. Personally developed five major higher education accounts representing approximately $780K in sales, in addition to numerous enterprise and institutional customers.</w:t>
      </w:r>
    </w:p>
    <w:p>
      <w:pPr>
        <w:spacing w:before="0" w:after="120" w:line="276" w:lineRule="auto"/>
      </w:pPr>
      <w:r>
        <w:rPr>
          <w:rFonts w:ascii="Arial" w:hAnsi="Arial"/>
          <w:b w:val="0"/>
          <w:color w:val="231F20"/>
          <w:sz w:val="20"/>
        </w:rPr>
        <w:t>Earlier experience as an agency Senior Creative Director, agency owner, and higher education communications manager provides deep creative and production fluency without limiting the work to hands-on design execution. Brings the perspective to direct creative teams, agencies, printers, PR firms, developers, vendors, and technical stakeholders, and learns emerging technology quickly. Actively applies generative AI and agentic tools to research, ideation, planning, and business workflows.</w:t>
      </w:r>
    </w:p>
    <w:p>
      <w:pPr>
        <w:keepNext/>
        <w:spacing w:before="160" w:after="80" w:line="240" w:lineRule="auto"/>
      </w:pPr>
      <w:r>
        <w:rPr>
          <w:rFonts w:ascii="Arial" w:hAnsi="Arial"/>
          <w:b/>
          <w:color w:val="795BB3"/>
          <w:sz w:val="26"/>
        </w:rPr>
        <w:t>CORE CAPABILITIES</w:t>
      </w:r>
    </w:p>
    <w:p>
      <w:pPr>
        <w:spacing w:before="0" w:after="120" w:line="269" w:lineRule="auto"/>
      </w:pPr>
      <w:r>
        <w:rPr>
          <w:rFonts w:ascii="Arial" w:hAnsi="Arial"/>
          <w:b w:val="0"/>
          <w:color w:val="231F20"/>
          <w:sz w:val="18"/>
        </w:rPr>
        <w:t>Strategic Partnerships | Enterprise &amp; Education Sales | Event Planning | Brand Marketing | Creative Direction | Program Management | Business Development | Consultative Selling | Account Growth &amp; Retention | Executive &amp; Multi-Stakeholder Relationships | Media &amp; Entertainment | Higher Education | Partner Activations | Product Launches | Cross-Functional Project Management | Global Team Coordination | Budget &amp; ROI Planning | Vendor &amp; Agency Management | Generative AI for Business | Bilingual English/Spanish</w:t>
      </w:r>
    </w:p>
    <w:p>
      <w:pPr>
        <w:keepNext/>
        <w:spacing w:before="160" w:after="80" w:line="240" w:lineRule="auto"/>
      </w:pPr>
      <w:r>
        <w:rPr>
          <w:rFonts w:ascii="Arial" w:hAnsi="Arial"/>
          <w:b/>
          <w:color w:val="795BB3"/>
          <w:sz w:val="26"/>
        </w:rPr>
        <w:t>PROFESSIONAL EXPERIENCE</w:t>
      </w:r>
    </w:p>
    <w:p>
      <w:pPr>
        <w:keepNext/>
        <w:spacing w:before="80" w:after="60" w:line="240" w:lineRule="auto"/>
      </w:pPr>
      <w:r>
        <w:rPr>
          <w:rFonts w:ascii="Arial" w:hAnsi="Arial"/>
          <w:b/>
          <w:color w:val="5368BB"/>
          <w:sz w:val="20"/>
        </w:rPr>
        <w:t>MARKETING DIRECTOR, NORTH AMERICA</w:t>
      </w:r>
      <w:r>
        <w:rPr>
          <w:rFonts w:ascii="Arial" w:hAnsi="Arial"/>
          <w:b/>
          <w:color w:val="231F20"/>
          <w:sz w:val="20"/>
        </w:rPr>
        <w:t xml:space="preserve"> | 2022-2026</w:t>
      </w:r>
    </w:p>
    <w:p>
      <w:pPr>
        <w:keepNext/>
        <w:spacing w:before="20" w:after="40" w:line="240" w:lineRule="auto"/>
      </w:pPr>
      <w:r>
        <w:rPr>
          <w:rFonts w:ascii="Arial" w:hAnsi="Arial"/>
          <w:b/>
          <w:color w:val="231F20"/>
          <w:sz w:val="18"/>
        </w:rPr>
        <w:t>XENCELABS TECHNOLOGIES, INC.</w:t>
      </w:r>
      <w:r>
        <w:rPr>
          <w:rFonts w:ascii="Arial" w:hAnsi="Arial"/>
          <w:b w:val="0"/>
          <w:color w:val="231F20"/>
          <w:sz w:val="18"/>
        </w:rPr>
        <w:t xml:space="preserve"> | Remote | Dual Role</w:t>
      </w:r>
    </w:p>
    <w:p>
      <w:pPr>
        <w:pStyle w:val="MMBullet"/>
        <w:spacing w:before="0" w:after="68" w:line="259" w:lineRule="auto"/>
      </w:pPr>
      <w:r>
        <w:rPr>
          <w:rFonts w:ascii="Arial" w:hAnsi="Arial"/>
          <w:b w:val="0"/>
          <w:color w:val="231F20"/>
          <w:sz w:val="19"/>
        </w:rPr>
        <w:t>• Directed North American marketing strategy, partner activations, events, and regional communications while simultaneously maintaining enterprise sales responsibilities.</w:t>
      </w:r>
    </w:p>
    <w:p>
      <w:pPr>
        <w:pStyle w:val="MMBullet"/>
        <w:spacing w:before="0" w:after="68" w:line="259" w:lineRule="auto"/>
      </w:pPr>
      <w:r>
        <w:rPr>
          <w:rFonts w:ascii="Arial" w:hAnsi="Arial"/>
          <w:b w:val="0"/>
          <w:color w:val="231F20"/>
          <w:sz w:val="19"/>
        </w:rPr>
        <w:t>• Developed collaborative relationships with Pixar RenderMan, Adobe Substance 3D, Maxon, Autodesk, NVIDIA, and other creative-technology partners, turning relationships into product seeding, shared event activations, demonstrations, sponsorships, artist collaborations, giveaways, and co-marketing opportunities.</w:t>
      </w:r>
    </w:p>
    <w:p>
      <w:pPr>
        <w:pStyle w:val="MMBullet"/>
        <w:spacing w:before="0" w:after="68" w:line="259" w:lineRule="auto"/>
      </w:pPr>
      <w:r>
        <w:rPr>
          <w:rFonts w:ascii="Arial" w:hAnsi="Arial"/>
          <w:b w:val="0"/>
          <w:color w:val="231F20"/>
          <w:sz w:val="19"/>
        </w:rPr>
        <w:t>• Built a multi-year relationship with Pixar RenderMan that expanded from product evaluation into Art Challenge prize sponsorship, SIGGRAPH Art &amp; Science Fair participation, artist collaborations, product storytelling, and ongoing brand visibility.</w:t>
      </w:r>
    </w:p>
    <w:p>
      <w:pPr>
        <w:pStyle w:val="MMBullet"/>
        <w:spacing w:before="0" w:after="68" w:line="259" w:lineRule="auto"/>
      </w:pPr>
      <w:r>
        <w:rPr>
          <w:rFonts w:ascii="Arial" w:hAnsi="Arial"/>
          <w:b w:val="0"/>
          <w:color w:val="231F20"/>
          <w:sz w:val="19"/>
        </w:rPr>
        <w:t>• Planned and executed major North American events including GDC, SIGGRAPH, Adobe MAX, MoCCA Fest, LightBox Expo, Autodesk events, and partner-hosted activations, managing budgets, vendors, logistics, shipping, signage, presenters, VIP meetings, giveaways, lead capture, and post-event follow-up.</w:t>
      </w:r>
    </w:p>
    <w:p>
      <w:pPr>
        <w:pStyle w:val="MMBullet"/>
        <w:spacing w:before="0" w:after="68" w:line="259" w:lineRule="auto"/>
      </w:pPr>
      <w:r>
        <w:rPr>
          <w:rFonts w:ascii="Arial" w:hAnsi="Arial"/>
          <w:b w:val="0"/>
          <w:color w:val="231F20"/>
          <w:sz w:val="19"/>
        </w:rPr>
        <w:t>• Led the North American execution of the confidential Pen Display 24 global launch at GDC 2023, coordinating global executives, PR, product engineers, partners, presenters, customers, booth operations, pre-show communications, and reveal timing.</w:t>
      </w:r>
    </w:p>
    <w:p>
      <w:pPr>
        <w:pStyle w:val="MMBullet"/>
        <w:spacing w:before="0" w:after="68" w:line="259" w:lineRule="auto"/>
      </w:pPr>
      <w:r>
        <w:rPr>
          <w:rFonts w:ascii="Arial" w:hAnsi="Arial"/>
          <w:b w:val="0"/>
          <w:color w:val="231F20"/>
          <w:sz w:val="19"/>
        </w:rPr>
        <w:t>• Directed regional brand marketing across product launches, web initiatives, newsletters, case studies, social media, paid campaigns, event promotion, and promotional programs, coordinating writers, designers, video editors, developers, agencies, and global stakeholders.</w:t>
      </w:r>
    </w:p>
    <w:p>
      <w:pPr>
        <w:pStyle w:val="MMBullet"/>
        <w:spacing w:before="0" w:after="68" w:line="259" w:lineRule="auto"/>
      </w:pPr>
      <w:r>
        <w:rPr>
          <w:rFonts w:ascii="Arial" w:hAnsi="Arial"/>
          <w:b w:val="0"/>
          <w:color w:val="231F20"/>
          <w:sz w:val="19"/>
        </w:rPr>
        <w:t>• Created and managed recurring artist programs including Artist Spotlight, the annual artist calendar, and PRO Tips. These programs connected artist relationships to authentic editorial content, product education, community engagement, and brand visibility while giving participating artists meaningful exposure.</w:t>
      </w:r>
    </w:p>
    <w:p>
      <w:pPr>
        <w:keepNext/>
        <w:spacing w:before="80" w:after="60" w:line="240" w:lineRule="auto"/>
      </w:pPr>
      <w:r>
        <w:rPr>
          <w:rFonts w:ascii="Arial" w:hAnsi="Arial"/>
          <w:b/>
          <w:color w:val="5368BB"/>
          <w:sz w:val="20"/>
        </w:rPr>
        <w:t>ENTERPRISE SALES MANAGER</w:t>
      </w:r>
      <w:r>
        <w:rPr>
          <w:rFonts w:ascii="Arial" w:hAnsi="Arial"/>
          <w:b/>
          <w:color w:val="231F20"/>
          <w:sz w:val="20"/>
        </w:rPr>
        <w:t xml:space="preserve"> | 2021-2026</w:t>
      </w:r>
    </w:p>
    <w:p>
      <w:pPr>
        <w:keepNext/>
        <w:spacing w:before="20" w:after="40" w:line="240" w:lineRule="auto"/>
      </w:pPr>
      <w:r>
        <w:rPr>
          <w:rFonts w:ascii="Arial" w:hAnsi="Arial"/>
          <w:b/>
          <w:color w:val="231F20"/>
          <w:sz w:val="18"/>
        </w:rPr>
        <w:t>XENCELABS TECHNOLOGIES, INC.</w:t>
      </w:r>
      <w:r>
        <w:rPr>
          <w:rFonts w:ascii="Arial" w:hAnsi="Arial"/>
          <w:b w:val="0"/>
          <w:color w:val="231F20"/>
          <w:sz w:val="18"/>
        </w:rPr>
        <w:t xml:space="preserve"> | Remote | Dual Role</w:t>
      </w:r>
    </w:p>
    <w:p>
      <w:pPr>
        <w:pStyle w:val="MMBullet"/>
        <w:spacing w:before="0" w:after="68" w:line="259" w:lineRule="auto"/>
      </w:pPr>
      <w:r>
        <w:rPr>
          <w:rFonts w:ascii="Arial" w:hAnsi="Arial"/>
          <w:b w:val="0"/>
          <w:color w:val="231F20"/>
          <w:sz w:val="19"/>
        </w:rPr>
        <w:t>• Closed more than $1.11M in enterprise and institutional sales over four years with average annual sales growth of approximately 218%, developing opportunities from first contact through evaluation, stakeholder buy-in, procurement, deployment, and post-sale support.</w:t>
      </w:r>
    </w:p>
    <w:p>
      <w:pPr>
        <w:pStyle w:val="MMBullet"/>
        <w:spacing w:before="0" w:after="68" w:line="259" w:lineRule="auto"/>
      </w:pPr>
      <w:r>
        <w:rPr>
          <w:rFonts w:ascii="Arial" w:hAnsi="Arial"/>
          <w:b w:val="0"/>
          <w:color w:val="231F20"/>
          <w:sz w:val="19"/>
        </w:rPr>
        <w:t>• Personally developed major higher education accounts at FIT, Humber College, Atlantic University, Rochester Institute of Technology, and Pratt Institute, representing approximately $780K in combined sales across these five institutions alone.</w:t>
      </w:r>
    </w:p>
    <w:p>
      <w:pPr>
        <w:pStyle w:val="MMBullet"/>
        <w:spacing w:before="0" w:after="68" w:line="259" w:lineRule="auto"/>
      </w:pPr>
      <w:r>
        <w:rPr>
          <w:rFonts w:ascii="Arial" w:hAnsi="Arial"/>
          <w:b w:val="0"/>
          <w:color w:val="231F20"/>
          <w:sz w:val="19"/>
        </w:rPr>
        <w:t>• Developed FIT into an approximately $262K account involving roughly 148 units plus stands, working across faculty, IT, systems, and purchasing stakeholders.</w:t>
      </w:r>
    </w:p>
    <w:p>
      <w:pPr>
        <w:pStyle w:val="MMBullet"/>
        <w:spacing w:before="0" w:after="68" w:line="259" w:lineRule="auto"/>
      </w:pPr>
      <w:r>
        <w:rPr>
          <w:rFonts w:ascii="Arial" w:hAnsi="Arial"/>
          <w:b w:val="0"/>
          <w:color w:val="231F20"/>
          <w:sz w:val="19"/>
        </w:rPr>
        <w:t>• Developed a two-year relationship with Humber College that resulted in an approximately $151K, 100+ unit deployment across multiple labs through faculty champions, product trials, in-person presentations, technical evaluation, and ongoing stakeholder communication.</w:t>
      </w:r>
    </w:p>
    <w:p>
      <w:pPr>
        <w:pStyle w:val="MMBullet"/>
        <w:spacing w:before="0" w:after="68" w:line="259" w:lineRule="auto"/>
      </w:pPr>
      <w:r>
        <w:rPr>
          <w:rFonts w:ascii="Arial" w:hAnsi="Arial"/>
          <w:b w:val="0"/>
          <w:color w:val="231F20"/>
          <w:sz w:val="19"/>
        </w:rPr>
        <w:t>• Developed Atlantic University in Puerto Rico into an approximately $157K account and built additional business with RIT and Pratt, using relationship continuity, demonstrations, industry events, technical evaluation, and institutional adoption support.</w:t>
      </w:r>
    </w:p>
    <w:p>
      <w:pPr>
        <w:pStyle w:val="MMBullet"/>
        <w:spacing w:before="0" w:after="68" w:line="259" w:lineRule="auto"/>
      </w:pPr>
      <w:r>
        <w:rPr>
          <w:rFonts w:ascii="Arial" w:hAnsi="Arial"/>
          <w:b w:val="0"/>
          <w:color w:val="231F20"/>
          <w:sz w:val="19"/>
        </w:rPr>
        <w:t>• Built repeat studio and enterprise relationships across animation, VFX, gaming, and media, including Sony Pictures Imageworks, Behaviour Interactive, Cinesite, Rodeo FX, and other creative organizations.</w:t>
      </w:r>
    </w:p>
    <w:p>
      <w:pPr>
        <w:pStyle w:val="MMBullet"/>
        <w:spacing w:before="0" w:after="68" w:line="259" w:lineRule="auto"/>
      </w:pPr>
      <w:r>
        <w:rPr>
          <w:rFonts w:ascii="Arial" w:hAnsi="Arial"/>
          <w:b w:val="0"/>
          <w:color w:val="231F20"/>
          <w:sz w:val="19"/>
        </w:rPr>
        <w:t>• Served as the business-facing bridge between customers and technical, support, product, and driver-development teams, translating real workflow requirements into testing, troubleshooting, product feedback, and adoption support.</w:t>
      </w:r>
    </w:p>
    <w:p>
      <w:pPr>
        <w:pStyle w:val="MMBullet"/>
        <w:spacing w:before="0" w:after="68" w:line="259" w:lineRule="auto"/>
      </w:pPr>
      <w:r>
        <w:rPr>
          <w:rFonts w:ascii="Arial" w:hAnsi="Arial"/>
          <w:b w:val="0"/>
          <w:color w:val="231F20"/>
          <w:sz w:val="19"/>
        </w:rPr>
        <w:t>• Used SIGGRAPH, GDC, and other industry events as active business-development environments, converting introductions, demonstrations, customer meetings, and partner interactions into long-term sales and strategic relationships.</w:t>
      </w:r>
    </w:p>
    <w:p>
      <w:pPr>
        <w:keepNext/>
        <w:spacing w:before="80" w:after="60" w:line="240" w:lineRule="auto"/>
      </w:pPr>
      <w:r>
        <w:rPr>
          <w:rFonts w:ascii="Arial" w:hAnsi="Arial"/>
          <w:b/>
          <w:color w:val="5368BB"/>
          <w:sz w:val="20"/>
        </w:rPr>
        <w:t>SENIOR MANAGER, COMMUNICATIONS DEPARTMENT</w:t>
      </w:r>
      <w:r>
        <w:rPr>
          <w:rFonts w:ascii="Arial" w:hAnsi="Arial"/>
          <w:b/>
          <w:color w:val="231F20"/>
          <w:sz w:val="20"/>
        </w:rPr>
        <w:t xml:space="preserve"> | 2016-2021</w:t>
      </w:r>
    </w:p>
    <w:p>
      <w:pPr>
        <w:keepNext/>
        <w:spacing w:before="20" w:after="40" w:line="240" w:lineRule="auto"/>
      </w:pPr>
      <w:r>
        <w:rPr>
          <w:rFonts w:ascii="Arial" w:hAnsi="Arial"/>
          <w:b/>
          <w:color w:val="231F20"/>
          <w:sz w:val="18"/>
        </w:rPr>
        <w:t>EASTMAN SCHOOL OF MUSIC</w:t>
      </w:r>
      <w:r>
        <w:rPr>
          <w:rFonts w:ascii="Arial" w:hAnsi="Arial"/>
          <w:b w:val="0"/>
          <w:color w:val="231F20"/>
          <w:sz w:val="18"/>
        </w:rPr>
        <w:t xml:space="preserve"> | Rochester, NY</w:t>
      </w:r>
    </w:p>
    <w:p>
      <w:pPr>
        <w:pStyle w:val="MMBullet"/>
        <w:spacing w:before="0" w:after="68" w:line="259" w:lineRule="auto"/>
      </w:pPr>
      <w:r>
        <w:rPr>
          <w:rFonts w:ascii="Arial" w:hAnsi="Arial"/>
          <w:b w:val="0"/>
          <w:color w:val="231F20"/>
          <w:sz w:val="19"/>
        </w:rPr>
        <w:t>• Led creative, digital, web, and communications strategy within a complex higher education environment serving administration, faculty, students, performance venues, and community stakeholders.</w:t>
      </w:r>
    </w:p>
    <w:p>
      <w:pPr>
        <w:pStyle w:val="MMBullet"/>
        <w:spacing w:before="0" w:after="68" w:line="259" w:lineRule="auto"/>
      </w:pPr>
      <w:r>
        <w:rPr>
          <w:rFonts w:ascii="Arial" w:hAnsi="Arial"/>
          <w:b w:val="0"/>
          <w:color w:val="231F20"/>
          <w:sz w:val="19"/>
        </w:rPr>
        <w:t>• Directed creative and web staff while managing brand development, digital communications, social media, print, photography, web initiatives, and institution-wide marketing projects.</w:t>
      </w:r>
    </w:p>
    <w:p>
      <w:pPr>
        <w:pStyle w:val="MMBullet"/>
        <w:spacing w:before="0" w:after="68" w:line="259" w:lineRule="auto"/>
      </w:pPr>
      <w:r>
        <w:rPr>
          <w:rFonts w:ascii="Arial" w:hAnsi="Arial"/>
          <w:b w:val="0"/>
          <w:color w:val="231F20"/>
          <w:sz w:val="19"/>
        </w:rPr>
        <w:t>• Reduced departmental operating expenses by 50% and outside consultant spending by 85% by building stronger internal capabilities, improving workflows, and managing outside resources more effectively.</w:t>
      </w:r>
    </w:p>
    <w:p>
      <w:pPr>
        <w:pStyle w:val="MMBullet"/>
        <w:spacing w:before="0" w:after="68" w:line="259" w:lineRule="auto"/>
      </w:pPr>
      <w:r>
        <w:rPr>
          <w:rFonts w:ascii="Arial" w:hAnsi="Arial"/>
          <w:b w:val="0"/>
          <w:color w:val="231F20"/>
          <w:sz w:val="19"/>
        </w:rPr>
        <w:t>• Rebranded school divisions and modernized marketing for Eastman's performance operations, supporting audience development, ticket sales, events, and community engagement.</w:t>
      </w:r>
    </w:p>
    <w:p>
      <w:pPr>
        <w:pStyle w:val="MMBullet"/>
        <w:spacing w:before="0" w:after="68" w:line="259" w:lineRule="auto"/>
      </w:pPr>
      <w:r>
        <w:rPr>
          <w:rFonts w:ascii="Arial" w:hAnsi="Arial"/>
          <w:b w:val="0"/>
          <w:color w:val="231F20"/>
          <w:sz w:val="19"/>
        </w:rPr>
        <w:t>• Gained first-hand understanding of university structures, academic calendars, departmental autonomy, budget cycles, faculty priorities, and the internal dynamics that influence institutional adoption and decision-making.</w:t>
      </w:r>
    </w:p>
    <w:p>
      <w:pPr>
        <w:keepNext/>
        <w:spacing w:before="80" w:after="60" w:line="240" w:lineRule="auto"/>
      </w:pPr>
      <w:r>
        <w:rPr>
          <w:rFonts w:ascii="Arial" w:hAnsi="Arial"/>
          <w:b/>
          <w:color w:val="5368BB"/>
          <w:sz w:val="20"/>
        </w:rPr>
        <w:t>FOUNDER &amp; SENIOR CREATIVE STRATEGIST</w:t>
      </w:r>
      <w:r>
        <w:rPr>
          <w:rFonts w:ascii="Arial" w:hAnsi="Arial"/>
          <w:b/>
          <w:color w:val="231F20"/>
          <w:sz w:val="20"/>
        </w:rPr>
        <w:t xml:space="preserve"> | 2014-2016</w:t>
      </w:r>
    </w:p>
    <w:p>
      <w:pPr>
        <w:keepNext/>
        <w:spacing w:before="20" w:after="40" w:line="240" w:lineRule="auto"/>
      </w:pPr>
      <w:r>
        <w:rPr>
          <w:rFonts w:ascii="Arial" w:hAnsi="Arial"/>
          <w:b/>
          <w:color w:val="231F20"/>
          <w:sz w:val="18"/>
        </w:rPr>
        <w:t>CREATIVE IDEOLOGY</w:t>
      </w:r>
      <w:r>
        <w:rPr>
          <w:rFonts w:ascii="Arial" w:hAnsi="Arial"/>
          <w:b w:val="0"/>
          <w:color w:val="231F20"/>
          <w:sz w:val="18"/>
        </w:rPr>
        <w:t xml:space="preserve"> | Rochester, NY</w:t>
      </w:r>
    </w:p>
    <w:p>
      <w:pPr>
        <w:pStyle w:val="MMBullet"/>
        <w:spacing w:before="0" w:after="68" w:line="259" w:lineRule="auto"/>
      </w:pPr>
      <w:r>
        <w:rPr>
          <w:rFonts w:ascii="Arial" w:hAnsi="Arial"/>
          <w:b w:val="0"/>
          <w:color w:val="231F20"/>
          <w:sz w:val="19"/>
        </w:rPr>
        <w:t>• Founded and operated an independent creative and marketing consultancy providing senior-level strategy, creative direction, digital expertise, and project management to organizations extending their internal marketing capabilities.</w:t>
      </w:r>
    </w:p>
    <w:p>
      <w:pPr>
        <w:pStyle w:val="MMBullet"/>
        <w:spacing w:before="0" w:after="68" w:line="259" w:lineRule="auto"/>
      </w:pPr>
      <w:r>
        <w:rPr>
          <w:rFonts w:ascii="Arial" w:hAnsi="Arial"/>
          <w:b w:val="0"/>
          <w:color w:val="231F20"/>
          <w:sz w:val="19"/>
        </w:rPr>
        <w:t>• Managed client strategy, pitches, project development, creative teams, vendors, budgets, web initiatives, brand programs, print production, and marketing execution.</w:t>
      </w:r>
    </w:p>
    <w:p>
      <w:pPr>
        <w:pStyle w:val="MMBullet"/>
        <w:spacing w:before="0" w:after="68" w:line="259" w:lineRule="auto"/>
      </w:pPr>
      <w:r>
        <w:rPr>
          <w:rFonts w:ascii="Arial" w:hAnsi="Arial"/>
          <w:b w:val="0"/>
          <w:color w:val="231F20"/>
          <w:sz w:val="19"/>
        </w:rPr>
        <w:t>• Partnered with Wacom Technology as an outside vendor supporting enterprise demonstrations and business development that contributed to an approximately $500K technology contract with RIT's MAGIC Center.</w:t>
      </w:r>
    </w:p>
    <w:p>
      <w:pPr>
        <w:pStyle w:val="MMBullet"/>
        <w:spacing w:before="0" w:after="68" w:line="259" w:lineRule="auto"/>
      </w:pPr>
      <w:r>
        <w:rPr>
          <w:rFonts w:ascii="Arial" w:hAnsi="Arial"/>
          <w:b w:val="0"/>
          <w:color w:val="231F20"/>
          <w:sz w:val="19"/>
        </w:rPr>
        <w:t>• Led brand positioning, digital strategy, and website project management for corporate clients and consulted with Xencelabs leadership during early product and brand-development work before joining the company full time.</w:t>
      </w:r>
    </w:p>
    <w:p>
      <w:pPr>
        <w:keepNext/>
        <w:pageBreakBefore/>
        <w:spacing w:before="80" w:after="60" w:line="240" w:lineRule="auto"/>
      </w:pPr>
      <w:r>
        <w:rPr>
          <w:rFonts w:ascii="Arial" w:hAnsi="Arial"/>
          <w:b/>
          <w:color w:val="5368BB"/>
          <w:sz w:val="20"/>
        </w:rPr>
        <w:t>SENIOR CREATIVE DIRECTOR</w:t>
      </w:r>
      <w:r>
        <w:rPr>
          <w:rFonts w:ascii="Arial" w:hAnsi="Arial"/>
          <w:b/>
          <w:color w:val="231F20"/>
          <w:sz w:val="20"/>
        </w:rPr>
        <w:t xml:space="preserve"> | 2006-2014</w:t>
      </w:r>
    </w:p>
    <w:p>
      <w:pPr>
        <w:keepNext/>
        <w:spacing w:before="20" w:after="40" w:line="240" w:lineRule="auto"/>
      </w:pPr>
      <w:r>
        <w:rPr>
          <w:rFonts w:ascii="Arial" w:hAnsi="Arial"/>
          <w:b/>
          <w:color w:val="231F20"/>
          <w:sz w:val="18"/>
        </w:rPr>
        <w:t>ARCHER COMMUNICATIONS</w:t>
      </w:r>
      <w:r>
        <w:rPr>
          <w:rFonts w:ascii="Arial" w:hAnsi="Arial"/>
          <w:b w:val="0"/>
          <w:color w:val="231F20"/>
          <w:sz w:val="18"/>
        </w:rPr>
        <w:t xml:space="preserve"> | Rochester, NY</w:t>
      </w:r>
    </w:p>
    <w:p>
      <w:pPr>
        <w:pStyle w:val="MMBullet"/>
        <w:spacing w:before="0" w:after="68" w:line="259" w:lineRule="auto"/>
      </w:pPr>
      <w:r>
        <w:rPr>
          <w:rFonts w:ascii="Arial" w:hAnsi="Arial"/>
          <w:b w:val="0"/>
          <w:color w:val="231F20"/>
          <w:sz w:val="19"/>
        </w:rPr>
        <w:t>• Built and led the agency's creative and web development functions, hiring, mentoring, and directing multidisciplinary talent across major client engagements.</w:t>
      </w:r>
    </w:p>
    <w:p>
      <w:pPr>
        <w:pStyle w:val="MMBullet"/>
        <w:spacing w:before="0" w:after="68" w:line="259" w:lineRule="auto"/>
      </w:pPr>
      <w:r>
        <w:rPr>
          <w:rFonts w:ascii="Arial" w:hAnsi="Arial"/>
          <w:b w:val="0"/>
          <w:color w:val="231F20"/>
          <w:sz w:val="19"/>
        </w:rPr>
        <w:t>• Managed client relationships from proposals and pitches through strategy, creative development, production, delivery, and account growth across banking, manufacturing, healthcare, tourism, and civic organizations.</w:t>
      </w:r>
    </w:p>
    <w:p>
      <w:pPr>
        <w:pStyle w:val="MMBullet"/>
        <w:spacing w:before="0" w:after="68" w:line="259" w:lineRule="auto"/>
      </w:pPr>
      <w:r>
        <w:rPr>
          <w:rFonts w:ascii="Arial" w:hAnsi="Arial"/>
          <w:b w:val="0"/>
          <w:color w:val="231F20"/>
          <w:sz w:val="19"/>
        </w:rPr>
        <w:t>• Directed integrated advertising and marketing programs spanning brand identity, print, web, digital campaigns, video, photography, broadcast, presentations, environmental graphics, and campaign development.</w:t>
      </w:r>
    </w:p>
    <w:p>
      <w:pPr>
        <w:pStyle w:val="MMBullet"/>
        <w:spacing w:before="0" w:after="68" w:line="259" w:lineRule="auto"/>
      </w:pPr>
      <w:r>
        <w:rPr>
          <w:rFonts w:ascii="Arial" w:hAnsi="Arial"/>
          <w:b w:val="0"/>
          <w:color w:val="231F20"/>
          <w:sz w:val="19"/>
        </w:rPr>
        <w:t>• Managed creative teams, printers, photographers, production partners, media vendors, developers, budgets, schedules, quality control, client approvals, and concurrent project delivery.</w:t>
      </w:r>
    </w:p>
    <w:p>
      <w:pPr>
        <w:pStyle w:val="MMBullet"/>
        <w:spacing w:before="0" w:after="68" w:line="259" w:lineRule="auto"/>
      </w:pPr>
      <w:r>
        <w:rPr>
          <w:rFonts w:ascii="Arial" w:hAnsi="Arial"/>
          <w:b w:val="0"/>
          <w:color w:val="231F20"/>
          <w:sz w:val="19"/>
        </w:rPr>
        <w:t>• Identified a larger digital-transformation opportunity for Parlec beyond its original catalog need and led development of a custom database-driven CMS that streamlined product information, reduced manual errors, and improved publishing efficiency.</w:t>
      </w:r>
    </w:p>
    <w:p>
      <w:pPr>
        <w:keepNext/>
        <w:spacing w:before="160" w:after="80" w:line="240" w:lineRule="auto"/>
      </w:pPr>
      <w:r>
        <w:rPr>
          <w:rFonts w:ascii="Arial" w:hAnsi="Arial"/>
          <w:b/>
          <w:color w:val="795BB3"/>
          <w:sz w:val="26"/>
        </w:rPr>
        <w:t>EARLIER EXPERIENCE</w:t>
      </w:r>
    </w:p>
    <w:p>
      <w:pPr>
        <w:spacing w:before="0" w:after="100" w:line="269" w:lineRule="auto"/>
      </w:pPr>
      <w:r>
        <w:rPr>
          <w:rFonts w:ascii="Arial" w:hAnsi="Arial"/>
          <w:b w:val="0"/>
          <w:color w:val="231F20"/>
          <w:sz w:val="19"/>
        </w:rPr>
        <w:t>Freelance Art Director and Graphic Designer supporting agencies and production organizations in Rochester, NY and Fort Lauderdale, FL. Worked on national and regional accounts including Xerox, Constellation Brands, Office Depot, Citrix, Tyco, and Rexall Sundown. Experience included art direction, advertising, print management, production, graphic design, photography, and agency collaboration.</w:t>
      </w:r>
    </w:p>
    <w:p>
      <w:pPr>
        <w:keepNext/>
        <w:spacing w:before="160" w:after="80" w:line="240" w:lineRule="auto"/>
      </w:pPr>
      <w:r>
        <w:rPr>
          <w:rFonts w:ascii="Arial" w:hAnsi="Arial"/>
          <w:b/>
          <w:color w:val="795BB3"/>
          <w:sz w:val="26"/>
        </w:rPr>
        <w:t>TECHNOLOGY, CREATIVE &amp; AI TOOLS</w:t>
      </w:r>
    </w:p>
    <w:p>
      <w:pPr>
        <w:spacing w:before="0" w:after="120" w:line="269" w:lineRule="auto"/>
      </w:pPr>
      <w:r>
        <w:rPr>
          <w:rFonts w:ascii="Arial" w:hAnsi="Arial"/>
          <w:b w:val="0"/>
          <w:color w:val="231F20"/>
          <w:sz w:val="18"/>
        </w:rPr>
        <w:t>Adobe Creative Cloud | Figma | Web &amp; CMS Platforms | HTML/CSS | Wrike | Microsoft 365 | Microsoft Teams | Slack | Monday.com | Nutshell CRM | Mailchimp | PowerPoint | Excel | Social Media Platforms | SEO/SEM | Paid Digital Advertising | Photography | Video Editing | Digital Asset Workflows | Generative AI | AI Agents | Agentic Workflow Experimentation | AI-Assisted Research, Ideation, Content Development &amp; Planning</w:t>
      </w:r>
    </w:p>
    <w:p>
      <w:pPr>
        <w:keepNext/>
        <w:spacing w:before="160" w:after="80" w:line="240" w:lineRule="auto"/>
      </w:pPr>
      <w:r>
        <w:rPr>
          <w:rFonts w:ascii="Arial" w:hAnsi="Arial"/>
          <w:b/>
          <w:color w:val="795BB3"/>
          <w:sz w:val="26"/>
        </w:rPr>
        <w:t>EDUCATION</w:t>
      </w:r>
    </w:p>
    <w:p>
      <w:pPr>
        <w:spacing w:before="0" w:after="40" w:line="252" w:lineRule="auto"/>
      </w:pPr>
      <w:r>
        <w:rPr>
          <w:rFonts w:ascii="Arial" w:hAnsi="Arial"/>
          <w:b w:val="0"/>
          <w:color w:val="231F20"/>
          <w:sz w:val="19"/>
        </w:rPr>
        <w:t>Bachelor of Science, Graphic Design | SUNY Brockport | Minor in Marketing</w:t>
      </w:r>
    </w:p>
    <w:p>
      <w:pPr>
        <w:spacing w:before="0" w:after="0" w:line="252" w:lineRule="auto"/>
      </w:pPr>
      <w:r>
        <w:rPr>
          <w:rFonts w:ascii="Arial" w:hAnsi="Arial"/>
          <w:b w:val="0"/>
          <w:color w:val="231F20"/>
          <w:sz w:val="19"/>
        </w:rPr>
        <w:t>Associate of Science, Advertising and Art Direction | Art Institute of Fort Lauderdale</w:t>
      </w:r>
    </w:p>
    <w:sectPr w:rsidR="00554D49" w:rsidSect="00034616">
      <w:pgSz w:w="12240" w:h="15840"/>
      <w:pgMar w:top="835" w:right="1008" w:bottom="80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0812788">
    <w:abstractNumId w:val="8"/>
  </w:num>
  <w:num w:numId="2" w16cid:durableId="1645306928">
    <w:abstractNumId w:val="6"/>
  </w:num>
  <w:num w:numId="3" w16cid:durableId="1291861214">
    <w:abstractNumId w:val="5"/>
  </w:num>
  <w:num w:numId="4" w16cid:durableId="1039816321">
    <w:abstractNumId w:val="4"/>
  </w:num>
  <w:num w:numId="5" w16cid:durableId="10571716">
    <w:abstractNumId w:val="7"/>
  </w:num>
  <w:num w:numId="6" w16cid:durableId="760223148">
    <w:abstractNumId w:val="3"/>
  </w:num>
  <w:num w:numId="7" w16cid:durableId="334462593">
    <w:abstractNumId w:val="2"/>
  </w:num>
  <w:num w:numId="8" w16cid:durableId="1921595307">
    <w:abstractNumId w:val="1"/>
  </w:num>
  <w:num w:numId="9" w16cid:durableId="1449543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54D49"/>
    <w:rsid w:val="00797FC0"/>
    <w:rsid w:val="00AA1D8D"/>
    <w:rsid w:val="00B47730"/>
    <w:rsid w:val="00CB0664"/>
    <w:rsid w:val="00CD0D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6C3D1D"/>
  <w14:defaultImageDpi w14:val="300"/>
  <w15:docId w15:val="{55E14A3D-DAB5-D741-9802-3DFBF447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59" w:lineRule="auto"/>
    </w:pPr>
    <w:rPr>
      <w:rFonts w:ascii="Arial" w:hAnsi="Arial"/>
      <w:color w:val="231F20"/>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MBullet">
    <w:name w:val="MM Bullet"/>
    <w:pPr>
      <w:spacing w:after="46" w:line="254" w:lineRule="auto"/>
      <w:ind w:left="346" w:hanging="202"/>
    </w:pPr>
    <w:rPr>
      <w:rFonts w:ascii="Arial" w:hAnsi="Arial"/>
      <w:color w:val="231F2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artorell.com" TargetMode="External"/><Relationship Id="rId3" Type="http://schemas.openxmlformats.org/officeDocument/2006/relationships/styles" Target="styles.xml"/><Relationship Id="rId7" Type="http://schemas.openxmlformats.org/officeDocument/2006/relationships/hyperlink" Target="https://www.linkedin.com/in/michelle-martore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chelle@mmartorel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Michelle Martorell - L3Harris Senior Specialist Communications Resume</vt:lpstr>
    </vt:vector>
  </TitlesOfParts>
  <Manager/>
  <Company/>
  <LinksUpToDate>false</LinksUpToDate>
  <CharactersWithSpaces>7708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Michelle Martorell - L3Harris Senior Specialist Communications Resume</dc:title>
  <dc:subject>ATS-tailored resume for L3Harris Senior Specialist, Communications</dc:subject>
  <dc:creator>Michelle Martorell</dc:creator>
  <cp:keywords>tradeshow, event management, communications, L3Harris, MarCom, business development</cp:keywords>
  <dc:description>generated by python-docx</dc:description>
  <cp:lastModifiedBy>Michelle Martorell</cp:lastModifiedBy>
  <cp:revision>2</cp:revision>
  <dcterms:created xsi:type="dcterms:W3CDTF">2013-12-23T23:15:00Z</dcterms:created>
  <dcterms:modified xsi:type="dcterms:W3CDTF">2026-09-03T15:20:00Z</dcterms:modified>
  <cp:category/>
</cp:coreProperties>
</file>